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76" w:lineRule="auto"/>
        <w:jc w:val="center"/>
        <w:rPr>
          <w:rFonts w:ascii="Mainz Meta" w:hAnsi="Mainz Meta"/>
          <w:b/>
          <w:smallCaps/>
          <w:spacing w:val="30"/>
          <w:sz w:val="48"/>
          <w:szCs w:val="40"/>
        </w:rPr>
      </w:pPr>
      <w:r>
        <w:rPr>
          <w:rFonts w:ascii="Mainz Meta" w:hAnsi="Mainz Meta"/>
          <w:b/>
          <w:smallCaps/>
          <w:spacing w:val="30"/>
          <w:sz w:val="48"/>
          <w:szCs w:val="40"/>
        </w:rPr>
        <w:t>Hausordnung</w:t>
      </w:r>
    </w:p>
    <w:p>
      <w:pPr>
        <w:spacing w:line="276" w:lineRule="auto"/>
        <w:jc w:val="center"/>
        <w:rPr>
          <w:rFonts w:ascii="Mainz Meta" w:hAnsi="Mainz Meta"/>
          <w:b/>
          <w:smallCaps/>
          <w:spacing w:val="20"/>
          <w:sz w:val="28"/>
          <w:szCs w:val="28"/>
        </w:rPr>
      </w:pPr>
      <w:r>
        <w:rPr>
          <w:rFonts w:ascii="Mainz Meta" w:hAnsi="Mainz Meta"/>
          <w:b/>
          <w:smallCaps/>
          <w:spacing w:val="20"/>
          <w:sz w:val="28"/>
          <w:szCs w:val="28"/>
        </w:rPr>
        <w:t>Römischer Kaiser</w:t>
      </w:r>
    </w:p>
    <w:p>
      <w:pPr>
        <w:spacing w:line="276" w:lineRule="auto"/>
        <w:jc w:val="center"/>
        <w:rPr>
          <w:rFonts w:ascii="Mainz Meta" w:hAnsi="Mainz Meta"/>
          <w:b/>
          <w:smallCaps/>
          <w:spacing w:val="20"/>
          <w:sz w:val="28"/>
          <w:szCs w:val="28"/>
        </w:rPr>
      </w:pPr>
      <w:r>
        <w:rPr>
          <w:rFonts w:ascii="Mainz Meta" w:hAnsi="Mainz Meta"/>
          <w:b/>
          <w:smallCaps/>
          <w:spacing w:val="20"/>
          <w:sz w:val="28"/>
          <w:szCs w:val="28"/>
        </w:rPr>
        <w:t>Gutenberg-bibliothek und Verwaltung</w:t>
      </w:r>
    </w:p>
    <w:p>
      <w:pPr>
        <w:spacing w:line="276" w:lineRule="auto"/>
        <w:jc w:val="center"/>
        <w:rPr>
          <w:rFonts w:ascii="Mainz Meta" w:hAnsi="Mainz Meta"/>
          <w:b/>
          <w:smallCaps/>
          <w:spacing w:val="20"/>
          <w:sz w:val="28"/>
          <w:szCs w:val="28"/>
        </w:rPr>
      </w:pPr>
      <w:r>
        <w:rPr>
          <w:rFonts w:ascii="Mainz Meta" w:hAnsi="Mainz Meta"/>
          <w:b/>
          <w:smallCaps/>
          <w:spacing w:val="20"/>
          <w:sz w:val="28"/>
          <w:szCs w:val="28"/>
        </w:rPr>
        <w:t>des Gutenberg-Museums</w:t>
      </w:r>
    </w:p>
    <w:p>
      <w:pPr>
        <w:spacing w:line="276" w:lineRule="auto"/>
        <w:jc w:val="center"/>
        <w:rPr>
          <w:rFonts w:ascii="Mainz Meta" w:hAnsi="Mainz Meta"/>
          <w:b/>
          <w:sz w:val="24"/>
        </w:rPr>
      </w:pPr>
      <w:r>
        <w:rPr>
          <w:rFonts w:ascii="Mainz Meta" w:hAnsi="Mainz Meta"/>
          <w:b/>
          <w:smallCaps/>
          <w:spacing w:val="20"/>
          <w:sz w:val="28"/>
          <w:szCs w:val="28"/>
        </w:rPr>
        <w:t>Liebfrauenplatz 5, Mainz</w:t>
      </w:r>
    </w:p>
    <w:p>
      <w:pPr>
        <w:spacing w:line="276" w:lineRule="auto"/>
        <w:jc w:val="center"/>
        <w:rPr>
          <w:rFonts w:ascii="Mainz Meta" w:hAnsi="Mainz Meta"/>
          <w:b/>
        </w:rPr>
      </w:pPr>
    </w:p>
    <w:p>
      <w:pPr>
        <w:spacing w:line="276" w:lineRule="auto"/>
        <w:rPr>
          <w:rFonts w:ascii="Mainz Meta" w:hAnsi="Mainz Meta"/>
        </w:rPr>
      </w:pPr>
      <w:r>
        <w:rPr>
          <w:rFonts w:ascii="Mainz Meta" w:hAnsi="Mainz Meta"/>
        </w:rPr>
        <w:t xml:space="preserve">Liebe </w:t>
      </w:r>
      <w:proofErr w:type="spellStart"/>
      <w:proofErr w:type="gramStart"/>
      <w:r>
        <w:rPr>
          <w:rFonts w:ascii="Mainz Meta" w:hAnsi="Mainz Meta"/>
        </w:rPr>
        <w:t>Besucher:innen</w:t>
      </w:r>
      <w:proofErr w:type="spellEnd"/>
      <w:proofErr w:type="gramEnd"/>
      <w:r>
        <w:rPr>
          <w:rFonts w:ascii="Mainz Meta" w:hAnsi="Mainz Meta"/>
        </w:rPr>
        <w:t>,</w:t>
      </w:r>
    </w:p>
    <w:p>
      <w:pPr>
        <w:spacing w:line="276" w:lineRule="auto"/>
        <w:rPr>
          <w:rFonts w:ascii="Mainz Meta" w:hAnsi="Mainz Meta"/>
        </w:rPr>
      </w:pPr>
    </w:p>
    <w:p>
      <w:pPr>
        <w:spacing w:line="276" w:lineRule="auto"/>
        <w:rPr>
          <w:rFonts w:ascii="Mainz Meta" w:hAnsi="Mainz Meta"/>
        </w:rPr>
      </w:pPr>
      <w:r>
        <w:rPr>
          <w:rFonts w:ascii="Mainz Meta" w:hAnsi="Mainz Meta"/>
        </w:rPr>
        <w:t>wir begrüßen Sie sehr herzlich in unserem Hause und wünschen Ihnen einen angenehmen Aufenthalt. Zu Beginn Ihres Besuches möchten wir Sie gerne mit unserer Hausordnung vertraut machen.</w:t>
      </w:r>
    </w:p>
    <w:p>
      <w:pPr>
        <w:spacing w:line="276" w:lineRule="auto"/>
        <w:rPr>
          <w:rFonts w:ascii="Mainz Meta" w:hAnsi="Mainz Meta"/>
        </w:rPr>
      </w:pPr>
    </w:p>
    <w:p>
      <w:pPr>
        <w:spacing w:line="276" w:lineRule="auto"/>
        <w:rPr>
          <w:rFonts w:ascii="Mainz Meta" w:hAnsi="Mainz Meta"/>
        </w:rPr>
      </w:pPr>
      <w:r>
        <w:rPr>
          <w:rFonts w:ascii="Mainz Meta" w:hAnsi="Mainz Meta"/>
        </w:rPr>
        <w:t>Wir bitten um die Beachtung der Benutzungs- und der Kostenordnung, die nähere Bestimmungen ent</w:t>
      </w:r>
      <w:r>
        <w:rPr>
          <w:rFonts w:ascii="Mainz Meta" w:hAnsi="Mainz Meta"/>
        </w:rPr>
        <w:softHyphen/>
        <w:t xml:space="preserve">halten. </w:t>
      </w:r>
      <w:proofErr w:type="spellStart"/>
      <w:proofErr w:type="gramStart"/>
      <w:r>
        <w:rPr>
          <w:rFonts w:ascii="Mainz Meta" w:hAnsi="Mainz Meta"/>
        </w:rPr>
        <w:t>Benutzer:innen</w:t>
      </w:r>
      <w:proofErr w:type="spellEnd"/>
      <w:proofErr w:type="gramEnd"/>
      <w:r>
        <w:rPr>
          <w:rFonts w:ascii="Mainz Meta" w:hAnsi="Mainz Meta"/>
        </w:rPr>
        <w:t>, die gegen die  Hausordnung verstoßen, können  durch schriftliche Verfügung zeitweise oder dauernd von der Benutzung ausgeschlossen werden.</w:t>
      </w:r>
    </w:p>
    <w:p>
      <w:pPr>
        <w:spacing w:line="276" w:lineRule="auto"/>
        <w:rPr>
          <w:rFonts w:ascii="Mainz Meta" w:hAnsi="Mainz Meta"/>
        </w:rPr>
      </w:pPr>
    </w:p>
    <w:p>
      <w:pPr>
        <w:spacing w:line="276" w:lineRule="auto"/>
        <w:rPr>
          <w:rFonts w:ascii="Mainz Meta" w:hAnsi="Mainz Meta"/>
        </w:rPr>
      </w:pPr>
      <w:r>
        <w:rPr>
          <w:rFonts w:ascii="Mainz Meta" w:hAnsi="Mainz Meta"/>
        </w:rPr>
        <w:t xml:space="preserve">Die Hausordnung ist für alle </w:t>
      </w:r>
      <w:proofErr w:type="spellStart"/>
      <w:proofErr w:type="gramStart"/>
      <w:r>
        <w:rPr>
          <w:rFonts w:ascii="Mainz Meta" w:hAnsi="Mainz Meta"/>
        </w:rPr>
        <w:t>Besucher:innen</w:t>
      </w:r>
      <w:proofErr w:type="spellEnd"/>
      <w:proofErr w:type="gramEnd"/>
      <w:r>
        <w:rPr>
          <w:rFonts w:ascii="Mainz Meta" w:hAnsi="Mainz Meta"/>
        </w:rPr>
        <w:t xml:space="preserve"> verbindlich. Mit dem Betreten des Museumsgebäudes erkennen Sie unsere Regelungen sowie alle sonstigen zur Aufrechterhaltung der Betriebssicherheit getroffenen Anordnungen an.</w:t>
      </w:r>
    </w:p>
    <w:p>
      <w:pPr>
        <w:spacing w:line="276" w:lineRule="auto"/>
        <w:rPr>
          <w:rFonts w:ascii="Mainz Meta" w:hAnsi="Mainz Meta"/>
          <w:color w:val="00B050"/>
        </w:rPr>
      </w:pPr>
    </w:p>
    <w:p>
      <w:pPr>
        <w:spacing w:line="276" w:lineRule="auto"/>
        <w:rPr>
          <w:rFonts w:ascii="Mainz Meta" w:hAnsi="Mainz Meta"/>
          <w:color w:val="FF0000"/>
        </w:rPr>
      </w:pPr>
      <w:r>
        <w:rPr>
          <w:rFonts w:ascii="Mainz Meta" w:hAnsi="Mainz Meta"/>
        </w:rPr>
        <w:t>Vor dem Betreten der Bibliotheksräumlichkeiten (Lese</w:t>
      </w:r>
      <w:r>
        <w:rPr>
          <w:rFonts w:ascii="Mainz Meta" w:hAnsi="Mainz Meta"/>
        </w:rPr>
        <w:softHyphen/>
        <w:t xml:space="preserve">saal) sind Mäntel und ähnliche Überbekleidung, Regenschirme, Taschen und sonstige sperrige Gegenstände in die Garderobenschränke einzuschließen. Ausnahmegenehmigungen zu dieser Regelung können durch die Direktion oder deren Stellvertretung erteilt werden. </w:t>
      </w:r>
    </w:p>
    <w:p>
      <w:pPr>
        <w:spacing w:line="276" w:lineRule="auto"/>
        <w:rPr>
          <w:rFonts w:ascii="Mainz Meta" w:hAnsi="Mainz Meta"/>
          <w:color w:val="FF0000"/>
        </w:rPr>
      </w:pPr>
    </w:p>
    <w:p>
      <w:pPr>
        <w:spacing w:line="276" w:lineRule="auto"/>
        <w:rPr>
          <w:rFonts w:ascii="Mainz Meta" w:hAnsi="Mainz Meta"/>
        </w:rPr>
      </w:pPr>
      <w:r>
        <w:rPr>
          <w:rFonts w:ascii="Mainz Meta" w:hAnsi="Mainz Meta"/>
        </w:rPr>
        <w:t xml:space="preserve">Das Fotografieren unserer Bestände im Lesesaal ist grundsätzlich erlaubt. Sollten Sie beabsichtigen, diese Bilder für eine geplante Publikation zu verwenden, bitten wir um Rücksprache unter </w:t>
      </w:r>
      <w:hyperlink r:id="rId8" w:history="1">
        <w:r>
          <w:rPr>
            <w:rStyle w:val="Hyperlink"/>
            <w:rFonts w:ascii="Mainz Meta" w:hAnsi="Mainz Meta"/>
          </w:rPr>
          <w:t>gutenberg-bibliothek@stadt.mainz.de</w:t>
        </w:r>
      </w:hyperlink>
      <w:r>
        <w:rPr>
          <w:rFonts w:ascii="Mainz Meta" w:hAnsi="Mainz Meta"/>
        </w:rPr>
        <w:t xml:space="preserve">. </w:t>
      </w:r>
    </w:p>
    <w:p>
      <w:pPr>
        <w:spacing w:line="276" w:lineRule="auto"/>
        <w:rPr>
          <w:rFonts w:ascii="Mainz Meta" w:hAnsi="Mainz Meta"/>
          <w:color w:val="FF0000"/>
          <w:highlight w:val="yellow"/>
        </w:rPr>
      </w:pPr>
    </w:p>
    <w:p>
      <w:pPr>
        <w:spacing w:line="276" w:lineRule="auto"/>
        <w:rPr>
          <w:rFonts w:ascii="Mainz Meta" w:hAnsi="Mainz Meta"/>
        </w:rPr>
      </w:pPr>
      <w:r>
        <w:rPr>
          <w:rFonts w:ascii="Mainz Meta" w:hAnsi="Mainz Meta"/>
        </w:rPr>
        <w:t>Essen und Trinken ist im Lesesaal der Bibliothek nicht erlaubt.  Für das gesamte Haus gilt Rauchverbot. Betteln und Hausieren ist verboten. Im Lesesaal ist eine ruhige Arbeitsweise geboten.</w:t>
      </w:r>
    </w:p>
    <w:p>
      <w:pPr>
        <w:spacing w:line="276" w:lineRule="auto"/>
        <w:rPr>
          <w:rFonts w:ascii="Mainz Meta" w:hAnsi="Mainz Meta"/>
        </w:rPr>
      </w:pPr>
    </w:p>
    <w:p>
      <w:pPr>
        <w:spacing w:line="276" w:lineRule="auto"/>
        <w:rPr>
          <w:rFonts w:ascii="Mainz Meta" w:hAnsi="Mainz Meta"/>
        </w:rPr>
      </w:pPr>
      <w:r>
        <w:rPr>
          <w:rFonts w:ascii="Mainz Meta" w:hAnsi="Mainz Meta"/>
        </w:rPr>
        <w:t>Den Anweisungen des Bibliothekspersonals ist Folge zu leisten.</w:t>
      </w:r>
    </w:p>
    <w:p>
      <w:pPr>
        <w:spacing w:line="276" w:lineRule="auto"/>
        <w:jc w:val="both"/>
        <w:rPr>
          <w:rFonts w:ascii="Mainz Meta" w:hAnsi="Mainz Meta"/>
          <w:b/>
        </w:rPr>
      </w:pPr>
    </w:p>
    <w:p>
      <w:pPr>
        <w:spacing w:line="276" w:lineRule="auto"/>
        <w:jc w:val="both"/>
        <w:rPr>
          <w:rFonts w:ascii="Mainz Meta" w:hAnsi="Mainz Meta"/>
          <w:b/>
        </w:rPr>
      </w:pPr>
      <w:r>
        <w:rPr>
          <w:rFonts w:ascii="Mainz Meta" w:hAnsi="Mainz Meta"/>
          <w:b/>
        </w:rPr>
        <w:t>Wir danken Ihnen herzlich für Ihr Verständnis!</w:t>
      </w:r>
    </w:p>
    <w:p>
      <w:pPr>
        <w:spacing w:line="276" w:lineRule="auto"/>
        <w:jc w:val="both"/>
        <w:rPr>
          <w:rFonts w:ascii="Mainz Meta" w:hAnsi="Mainz Meta"/>
        </w:rPr>
      </w:pPr>
    </w:p>
    <w:p>
      <w:pPr>
        <w:spacing w:line="276" w:lineRule="auto"/>
        <w:jc w:val="both"/>
        <w:rPr>
          <w:rFonts w:ascii="Mainz Meta" w:hAnsi="Mainz Meta"/>
        </w:rPr>
      </w:pPr>
      <w:r>
        <w:rPr>
          <w:rFonts w:ascii="Mainz Meta" w:hAnsi="Mainz Meta"/>
        </w:rPr>
        <w:t xml:space="preserve">Die Hausordnung tritt mit sofortiger Wirkung in Kraft. </w:t>
      </w:r>
    </w:p>
    <w:p>
      <w:pPr>
        <w:spacing w:line="276" w:lineRule="auto"/>
        <w:jc w:val="both"/>
        <w:rPr>
          <w:rFonts w:ascii="Mainz Meta" w:hAnsi="Mainz Meta"/>
        </w:rPr>
      </w:pPr>
    </w:p>
    <w:p>
      <w:pPr>
        <w:spacing w:line="276" w:lineRule="auto"/>
        <w:jc w:val="both"/>
        <w:rPr>
          <w:rFonts w:ascii="Mainz Meta" w:hAnsi="Mainz Meta"/>
        </w:rPr>
      </w:pPr>
      <w:r>
        <w:rPr>
          <w:rFonts w:ascii="Mainz Meta" w:hAnsi="Mainz Meta"/>
        </w:rPr>
        <w:t>Mainz, 13.03.2024</w:t>
      </w:r>
    </w:p>
    <w:p>
      <w:pPr>
        <w:spacing w:line="276" w:lineRule="auto"/>
        <w:jc w:val="both"/>
        <w:rPr>
          <w:rFonts w:ascii="Mainz Meta" w:hAnsi="Mainz Meta"/>
        </w:rPr>
      </w:pPr>
      <w:bookmarkStart w:id="0" w:name="_GoBack"/>
      <w:bookmarkEnd w:id="0"/>
    </w:p>
    <w:p>
      <w:pPr>
        <w:spacing w:line="276" w:lineRule="auto"/>
        <w:jc w:val="both"/>
        <w:rPr>
          <w:rFonts w:ascii="Mainz Meta" w:hAnsi="Mainz Meta"/>
        </w:rPr>
      </w:pPr>
    </w:p>
    <w:p>
      <w:pPr>
        <w:spacing w:line="276" w:lineRule="auto"/>
        <w:jc w:val="both"/>
        <w:rPr>
          <w:rFonts w:ascii="Mainz Meta" w:hAnsi="Mainz Meta"/>
        </w:rPr>
      </w:pPr>
      <w:r>
        <w:rPr>
          <w:rFonts w:ascii="Mainz Meta" w:hAnsi="Mainz Meta"/>
        </w:rPr>
        <w:t xml:space="preserve">Dr. Ulf </w:t>
      </w:r>
      <w:proofErr w:type="spellStart"/>
      <w:r>
        <w:rPr>
          <w:rFonts w:ascii="Mainz Meta" w:hAnsi="Mainz Meta"/>
        </w:rPr>
        <w:t>Sölter</w:t>
      </w:r>
      <w:proofErr w:type="spellEnd"/>
    </w:p>
    <w:p>
      <w:pPr>
        <w:spacing w:line="276" w:lineRule="auto"/>
        <w:jc w:val="both"/>
        <w:rPr>
          <w:rFonts w:ascii="Mainz Meta" w:hAnsi="Mainz Meta"/>
        </w:rPr>
      </w:pPr>
      <w:r>
        <w:rPr>
          <w:rFonts w:ascii="Mainz Meta" w:hAnsi="Mainz Meta"/>
        </w:rPr>
        <w:t>Direktor des Gutenberg-Museums</w:t>
      </w:r>
    </w:p>
    <w:sectPr>
      <w:headerReference w:type="default" r:id="rId9"/>
      <w:footerReference w:type="default" r:id="rId10"/>
      <w:pgSz w:w="11907" w:h="16840" w:code="9"/>
      <w:pgMar w:top="2268" w:right="1418" w:bottom="1418" w:left="1418" w:header="720" w:footer="720" w:gutter="0"/>
      <w:paperSrc w:firs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inz Meta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center"/>
      <w:rPr>
        <w:rFonts w:ascii="Mainz Meta" w:hAnsi="Mainz Meta"/>
        <w:sz w:val="22"/>
        <w:szCs w:val="22"/>
      </w:rPr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rFonts w:ascii="Mainz Meta" w:hAnsi="Mainz Meta"/>
        <w:b/>
        <w:smallCaps/>
        <w:noProof/>
        <w:spacing w:val="30"/>
        <w:sz w:val="40"/>
        <w:szCs w:val="40"/>
      </w:rPr>
      <w:drawing>
        <wp:inline distT="0" distB="0" distL="0" distR="0">
          <wp:extent cx="2124075" cy="472537"/>
          <wp:effectExtent l="0" t="0" r="0" b="381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tenberg-Museum_Logo_Schrift rech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623" cy="473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8D7"/>
    <w:multiLevelType w:val="hybridMultilevel"/>
    <w:tmpl w:val="4DF4E454"/>
    <w:lvl w:ilvl="0" w:tplc="2180AB32">
      <w:numFmt w:val="bullet"/>
      <w:lvlText w:val="-"/>
      <w:lvlJc w:val="left"/>
      <w:pPr>
        <w:ind w:left="720" w:hanging="360"/>
      </w:pPr>
      <w:rPr>
        <w:rFonts w:ascii="Mainz Meta" w:eastAsia="Times New Roman" w:hAnsi="Mainz Met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703EF"/>
    <w:multiLevelType w:val="hybridMultilevel"/>
    <w:tmpl w:val="85C0BF00"/>
    <w:lvl w:ilvl="0" w:tplc="D5F6FCD8">
      <w:numFmt w:val="bullet"/>
      <w:lvlText w:val="-"/>
      <w:lvlJc w:val="left"/>
      <w:pPr>
        <w:ind w:left="720" w:hanging="360"/>
      </w:pPr>
      <w:rPr>
        <w:rFonts w:ascii="Mainz Meta" w:eastAsia="Times New Roman" w:hAnsi="Mainz Met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202EE"/>
    <w:multiLevelType w:val="hybridMultilevel"/>
    <w:tmpl w:val="207ED5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6EBFC52-7C28-4602-8416-E8EC24B4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tenberg-bibliothek@stadt.mainz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F90B-8F10-4E6D-AA54-88F1F3C9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 A U S O R D N U N G</vt:lpstr>
    </vt:vector>
  </TitlesOfParts>
  <Company>Stadtverwaltung Mainz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U S O R D N U N G</dc:title>
  <dc:creator>Stadtverwaltung Mainz</dc:creator>
  <cp:lastModifiedBy>Pauline Schuler</cp:lastModifiedBy>
  <cp:revision>2</cp:revision>
  <cp:lastPrinted>2024-03-13T13:26:00Z</cp:lastPrinted>
  <dcterms:created xsi:type="dcterms:W3CDTF">2024-03-13T13:31:00Z</dcterms:created>
  <dcterms:modified xsi:type="dcterms:W3CDTF">2024-03-13T13:31:00Z</dcterms:modified>
</cp:coreProperties>
</file>